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A3" w:rsidRDefault="009420A3" w:rsidP="009420A3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9525</wp:posOffset>
                </wp:positionV>
                <wp:extent cx="790575" cy="36258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0A3" w:rsidRDefault="009420A3" w:rsidP="009420A3">
                            <w:pPr>
                              <w:jc w:val="right"/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附件4</w:t>
                            </w:r>
                          </w:p>
                          <w:p w:rsidR="009420A3" w:rsidRDefault="009420A3" w:rsidP="009420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8.25pt;margin-top:.75pt;width:62.25pt;height:28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" stroked="f">
                <v:fill opacity="0"/>
                <v:textbox inset="0,0,0,0">
                  <w:txbxContent>
                    <w:p w:rsidR="009420A3" w:rsidRDefault="009420A3" w:rsidP="009420A3">
                      <w:pPr>
                        <w:jc w:val="right"/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附件4</w:t>
                      </w:r>
                    </w:p>
                    <w:p w:rsidR="009420A3" w:rsidRDefault="009420A3" w:rsidP="009420A3"/>
                  </w:txbxContent>
                </v:textbox>
              </v:shape>
            </w:pict>
          </mc:Fallback>
        </mc:AlternateContent>
      </w:r>
    </w:p>
    <w:p w:rsidR="009420A3" w:rsidRDefault="009420A3" w:rsidP="009420A3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_GB2312"/>
          <w:b/>
          <w:bCs/>
          <w:color w:val="000000"/>
          <w:sz w:val="36"/>
          <w:szCs w:val="36"/>
        </w:rPr>
        <w:t>云南大学本科毕业论文（设计）评分标准及评审表</w:t>
      </w:r>
    </w:p>
    <w:p w:rsidR="009420A3" w:rsidRDefault="009420A3" w:rsidP="009420A3">
      <w:pPr>
        <w:pStyle w:val="858D7CFB-ED40-4347-BF05-701D383B685F858D7CFB-ED40-4347-BF05-701D383B685F"/>
        <w:widowControl w:val="0"/>
        <w:snapToGrid w:val="0"/>
        <w:spacing w:line="320" w:lineRule="atLeast"/>
        <w:ind w:left="29" w:right="28"/>
        <w:rPr>
          <w:rFonts w:ascii="仿宋_GB2312" w:eastAsia="仿宋_GB2312" w:hAnsi="仿宋_GB2312"/>
          <w:b/>
        </w:rPr>
      </w:pPr>
    </w:p>
    <w:p w:rsidR="009420A3" w:rsidRDefault="009420A3" w:rsidP="009420A3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b/>
          <w:color w:val="000000"/>
          <w:u w:val="single"/>
        </w:rPr>
      </w:pPr>
      <w:r>
        <w:rPr>
          <w:rFonts w:ascii="仿宋_GB2312" w:eastAsia="仿宋_GB2312" w:hAnsi="仿宋_GB2312"/>
          <w:b/>
          <w:color w:val="000000"/>
        </w:rPr>
        <w:t>姓名：</w:t>
      </w:r>
      <w:r>
        <w:rPr>
          <w:rFonts w:ascii="仿宋_GB2312" w:eastAsia="仿宋_GB2312" w:hAnsi="仿宋_GB2312"/>
          <w:b/>
          <w:color w:val="000000"/>
          <w:u w:val="single"/>
        </w:rPr>
        <w:t xml:space="preserve">                  </w:t>
      </w:r>
      <w:r>
        <w:rPr>
          <w:rFonts w:ascii="仿宋_GB2312" w:eastAsia="仿宋_GB2312" w:hAnsi="仿宋_GB2312"/>
          <w:b/>
          <w:color w:val="000000"/>
        </w:rPr>
        <w:t xml:space="preserve">  学号：</w:t>
      </w:r>
      <w:r>
        <w:rPr>
          <w:rFonts w:ascii="仿宋_GB2312" w:eastAsia="仿宋_GB2312" w:hAnsi="仿宋_GB2312"/>
          <w:b/>
          <w:color w:val="000000"/>
          <w:u w:val="single"/>
        </w:rPr>
        <w:t xml:space="preserve">               </w:t>
      </w:r>
      <w:r>
        <w:rPr>
          <w:rFonts w:ascii="仿宋_GB2312" w:eastAsia="仿宋_GB2312" w:hAnsi="仿宋_GB2312"/>
          <w:b/>
          <w:color w:val="000000"/>
        </w:rPr>
        <w:t xml:space="preserve"> 指导教师：</w:t>
      </w:r>
      <w:r>
        <w:rPr>
          <w:rFonts w:ascii="仿宋_GB2312" w:eastAsia="仿宋_GB2312" w:hAnsi="仿宋_GB2312"/>
          <w:b/>
          <w:color w:val="000000"/>
          <w:u w:val="single"/>
        </w:rPr>
        <w:t xml:space="preserve">                </w:t>
      </w:r>
    </w:p>
    <w:tbl>
      <w:tblPr>
        <w:tblW w:w="5187" w:type="pct"/>
        <w:tblLook w:val="0000" w:firstRow="0" w:lastRow="0" w:firstColumn="0" w:lastColumn="0" w:noHBand="0" w:noVBand="0"/>
      </w:tblPr>
      <w:tblGrid>
        <w:gridCol w:w="1602"/>
        <w:gridCol w:w="835"/>
        <w:gridCol w:w="5355"/>
        <w:gridCol w:w="790"/>
        <w:gridCol w:w="24"/>
      </w:tblGrid>
      <w:tr w:rsidR="009420A3" w:rsidTr="00C31AC7">
        <w:trPr>
          <w:gridAfter w:val="1"/>
          <w:wAfter w:w="14" w:type="pct"/>
          <w:trHeight w:hRule="exact" w:val="454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center"/>
              <w:rPr>
                <w:rFonts w:ascii="楷体_GB2312" w:eastAsia="仿宋_GB2312" w:hAnsi="楷体_GB2312"/>
                <w:b/>
              </w:rPr>
            </w:pPr>
            <w:r>
              <w:rPr>
                <w:rFonts w:ascii="楷体_GB2312" w:eastAsia="仿宋_GB2312" w:hAnsi="楷体_GB2312"/>
                <w:b/>
              </w:rPr>
              <w:t>评价内容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center"/>
              <w:rPr>
                <w:rFonts w:ascii="楷体_GB2312" w:eastAsia="仿宋_GB2312" w:hAnsi="楷体_GB2312"/>
                <w:b/>
              </w:rPr>
            </w:pPr>
            <w:r>
              <w:rPr>
                <w:rFonts w:ascii="楷体_GB2312" w:eastAsia="仿宋_GB2312" w:hAnsi="楷体_GB2312"/>
                <w:b/>
              </w:rPr>
              <w:t>分值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center"/>
              <w:rPr>
                <w:rFonts w:ascii="楷体_GB2312" w:eastAsia="仿宋_GB2312" w:hAnsi="楷体_GB2312"/>
                <w:b/>
              </w:rPr>
            </w:pPr>
            <w:r>
              <w:rPr>
                <w:rFonts w:ascii="楷体_GB2312" w:eastAsia="仿宋_GB2312" w:hAnsi="楷体_GB2312"/>
                <w:b/>
              </w:rPr>
              <w:t>评价标准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center"/>
              <w:rPr>
                <w:rFonts w:ascii="楷体_GB2312" w:eastAsia="仿宋_GB2312" w:hAnsi="楷体_GB2312"/>
                <w:b/>
              </w:rPr>
            </w:pPr>
            <w:r>
              <w:rPr>
                <w:rFonts w:ascii="楷体_GB2312" w:eastAsia="仿宋_GB2312" w:hAnsi="楷体_GB2312"/>
                <w:b/>
              </w:rPr>
              <w:t>得分</w:t>
            </w:r>
          </w:p>
        </w:tc>
      </w:tr>
      <w:tr w:rsidR="009420A3" w:rsidTr="00C31AC7">
        <w:trPr>
          <w:gridAfter w:val="1"/>
          <w:wAfter w:w="14" w:type="pct"/>
          <w:trHeight w:hRule="exact" w:val="770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1</w:t>
            </w:r>
            <w:r w:rsidRPr="003C0848">
              <w:rPr>
                <w:rFonts w:ascii="Times New Roman" w:eastAsia="仿宋_GB2312" w:hAnsi="Times New Roman"/>
              </w:rPr>
              <w:t>、选</w:t>
            </w:r>
            <w:r w:rsidRPr="003C0848">
              <w:rPr>
                <w:rFonts w:ascii="Times New Roman" w:eastAsia="仿宋_GB2312" w:hAnsi="Times New Roman"/>
              </w:rPr>
              <w:t xml:space="preserve">    </w:t>
            </w:r>
            <w:r w:rsidRPr="003C0848">
              <w:rPr>
                <w:rFonts w:ascii="Times New Roman" w:eastAsia="仿宋_GB2312" w:hAnsi="Times New Roman"/>
              </w:rPr>
              <w:t>题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center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符合专业培养目标，体现专业特点，难度与份量适中；工作量饱满。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</w:tc>
      </w:tr>
      <w:tr w:rsidR="009420A3" w:rsidTr="00C31AC7">
        <w:trPr>
          <w:gridAfter w:val="1"/>
          <w:wAfter w:w="14" w:type="pct"/>
          <w:trHeight w:hRule="exact" w:val="1134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2</w:t>
            </w:r>
            <w:r w:rsidRPr="003C0848">
              <w:rPr>
                <w:rFonts w:ascii="Times New Roman" w:eastAsia="仿宋_GB2312" w:hAnsi="Times New Roman"/>
              </w:rPr>
              <w:t>、调研论证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center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20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能根据题目要求提出切实可行调研实施方案，具有独立深入社会调查研究、查阅文献、收集信息，并分析整理各类信息，从中获取新知识的能力。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</w:tc>
      </w:tr>
      <w:tr w:rsidR="009420A3" w:rsidTr="00C31AC7">
        <w:trPr>
          <w:gridAfter w:val="1"/>
          <w:wAfter w:w="14" w:type="pct"/>
          <w:trHeight w:hRule="exact" w:val="1134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3</w:t>
            </w:r>
            <w:r w:rsidRPr="003C0848">
              <w:rPr>
                <w:rFonts w:ascii="Times New Roman" w:eastAsia="仿宋_GB2312" w:hAnsi="Times New Roman"/>
              </w:rPr>
              <w:t>、研究方法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center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15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能够综合运用有关的基础理论和专业知识，分析问题透彻，论文观点鲜明、正确，合理使用各种信息，论据充分，逻辑性强，研究方法得当。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</w:tc>
      </w:tr>
      <w:tr w:rsidR="009420A3" w:rsidTr="00C31AC7">
        <w:trPr>
          <w:gridAfter w:val="1"/>
          <w:wAfter w:w="14" w:type="pct"/>
          <w:trHeight w:hRule="exact" w:val="737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4</w:t>
            </w:r>
            <w:r w:rsidRPr="003C0848">
              <w:rPr>
                <w:rFonts w:ascii="Times New Roman" w:eastAsia="仿宋_GB2312" w:hAnsi="Times New Roman"/>
              </w:rPr>
              <w:t>、论文结构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center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25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整体结构合理，文章中心突出，内容充实，层次清楚，数据可靠，详略得当。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</w:tc>
      </w:tr>
      <w:tr w:rsidR="009420A3" w:rsidTr="00C31AC7">
        <w:trPr>
          <w:gridAfter w:val="1"/>
          <w:wAfter w:w="14" w:type="pct"/>
          <w:trHeight w:hRule="exact" w:val="737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5</w:t>
            </w:r>
            <w:r w:rsidRPr="003C0848">
              <w:rPr>
                <w:rFonts w:ascii="Times New Roman" w:eastAsia="仿宋_GB2312" w:hAnsi="Times New Roman"/>
              </w:rPr>
              <w:t>、创</w:t>
            </w:r>
            <w:r w:rsidRPr="003C0848">
              <w:rPr>
                <w:rFonts w:ascii="Times New Roman" w:eastAsia="仿宋_GB2312" w:hAnsi="Times New Roman"/>
              </w:rPr>
              <w:t xml:space="preserve">    </w:t>
            </w:r>
            <w:r w:rsidRPr="003C0848">
              <w:rPr>
                <w:rFonts w:ascii="Times New Roman" w:eastAsia="仿宋_GB2312" w:hAnsi="Times New Roman"/>
              </w:rPr>
              <w:t>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center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具有自己的独特见解或较强的现实意义，观点富有新意。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</w:tc>
      </w:tr>
      <w:tr w:rsidR="009420A3" w:rsidTr="00C31AC7">
        <w:trPr>
          <w:gridAfter w:val="1"/>
          <w:wAfter w:w="14" w:type="pct"/>
          <w:trHeight w:hRule="exact" w:val="794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6</w:t>
            </w:r>
            <w:r w:rsidRPr="003C0848">
              <w:rPr>
                <w:rFonts w:ascii="Times New Roman" w:eastAsia="仿宋_GB2312" w:hAnsi="Times New Roman"/>
              </w:rPr>
              <w:t>、论文表达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center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15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具有较强的文字表达能力，概念表述准确简洁，文笔流畅，图表清楚，格式规范。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</w:tc>
      </w:tr>
      <w:tr w:rsidR="009420A3" w:rsidTr="00C31AC7">
        <w:trPr>
          <w:gridAfter w:val="1"/>
          <w:wAfter w:w="14" w:type="pct"/>
          <w:trHeight w:hRule="exact" w:val="472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7</w:t>
            </w:r>
            <w:r w:rsidRPr="003C0848">
              <w:rPr>
                <w:rFonts w:ascii="Times New Roman" w:eastAsia="仿宋_GB2312" w:hAnsi="Times New Roman"/>
              </w:rPr>
              <w:t>、英文摘要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0A3" w:rsidRPr="003C0848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center"/>
              <w:rPr>
                <w:rFonts w:ascii="Times New Roman" w:eastAsia="仿宋_GB2312" w:hAnsi="Times New Roman"/>
              </w:rPr>
            </w:pPr>
            <w:r w:rsidRPr="003C0848"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0A3" w:rsidRDefault="009420A3" w:rsidP="00082890">
            <w:pPr>
              <w:snapToGrid w:val="0"/>
              <w:spacing w:before="115" w:after="115" w:line="320" w:lineRule="atLeast"/>
              <w:ind w:right="28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翻译准确，文字流畅。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240" w:lineRule="exac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</w:tc>
      </w:tr>
      <w:tr w:rsidR="009420A3" w:rsidTr="00C31AC7">
        <w:trPr>
          <w:trHeight w:hRule="exact" w:val="54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60" w:lineRule="exact"/>
              <w:ind w:left="0" w:right="28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8、指导教师评分：</w:t>
            </w:r>
          </w:p>
        </w:tc>
      </w:tr>
      <w:tr w:rsidR="009420A3" w:rsidTr="00C31AC7">
        <w:trPr>
          <w:trHeight w:val="281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9、指导教师评语：</w:t>
            </w:r>
          </w:p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  <w:p w:rsidR="009420A3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仿宋_GB2312" w:eastAsia="仿宋_GB2312" w:hAnsi="仿宋_GB2312"/>
              </w:rPr>
            </w:pPr>
          </w:p>
          <w:p w:rsidR="00C31AC7" w:rsidRDefault="00C31AC7" w:rsidP="00C31AC7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 w:firstLine="22"/>
              <w:jc w:val="both"/>
              <w:rPr>
                <w:rFonts w:ascii="仿宋_GB2312" w:eastAsia="仿宋_GB2312" w:hAnsi="仿宋_GB2312"/>
              </w:rPr>
            </w:pPr>
          </w:p>
          <w:p w:rsidR="009420A3" w:rsidRDefault="009420A3" w:rsidP="00D32B96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 w:firstLineChars="1249" w:firstLine="2998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指导教师签名：               年    月     日</w:t>
            </w:r>
          </w:p>
        </w:tc>
      </w:tr>
      <w:tr w:rsidR="009420A3" w:rsidTr="00C31AC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A3" w:rsidRPr="00C31AC7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仿宋" w:eastAsia="仿宋" w:hAnsi="仿宋"/>
              </w:rPr>
            </w:pPr>
            <w:r w:rsidRPr="00C31AC7">
              <w:rPr>
                <w:rFonts w:ascii="仿宋" w:eastAsia="仿宋" w:hAnsi="仿宋"/>
              </w:rPr>
              <w:t>系主任意见（需说明是否同意指导教师评分）：</w:t>
            </w:r>
          </w:p>
          <w:p w:rsidR="009420A3" w:rsidRPr="00C31AC7" w:rsidRDefault="009420A3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仿宋" w:eastAsia="仿宋" w:hAnsi="仿宋"/>
              </w:rPr>
            </w:pPr>
          </w:p>
          <w:p w:rsidR="00C31AC7" w:rsidRPr="00C31AC7" w:rsidRDefault="00C31AC7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仿宋" w:eastAsia="仿宋" w:hAnsi="仿宋"/>
              </w:rPr>
            </w:pPr>
          </w:p>
          <w:p w:rsidR="00C31AC7" w:rsidRPr="00C31AC7" w:rsidRDefault="00C31AC7" w:rsidP="00082890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仿宋" w:eastAsia="仿宋" w:hAnsi="仿宋"/>
              </w:rPr>
            </w:pPr>
          </w:p>
          <w:p w:rsidR="009420A3" w:rsidRDefault="009420A3" w:rsidP="00C31AC7">
            <w:pPr>
              <w:pStyle w:val="858D7CFB-ED40-4347-BF05-701D383B685F858D7CFB-ED40-4347-BF05-701D383B685F"/>
              <w:widowControl w:val="0"/>
              <w:snapToGrid w:val="0"/>
              <w:spacing w:before="115" w:after="115" w:line="320" w:lineRule="atLeast"/>
              <w:ind w:left="0" w:right="28"/>
              <w:jc w:val="both"/>
              <w:rPr>
                <w:rFonts w:ascii="楷体_GB2312" w:eastAsia="楷体_GB2312" w:hAnsi="楷体_GB2312"/>
              </w:rPr>
            </w:pPr>
            <w:r w:rsidRPr="00C31AC7">
              <w:rPr>
                <w:rFonts w:ascii="仿宋" w:eastAsia="仿宋" w:hAnsi="仿宋"/>
              </w:rPr>
              <w:t xml:space="preserve">                  </w:t>
            </w:r>
            <w:r w:rsidR="00C31AC7">
              <w:rPr>
                <w:rFonts w:ascii="仿宋" w:eastAsia="仿宋" w:hAnsi="仿宋"/>
              </w:rPr>
              <w:t xml:space="preserve">       </w:t>
            </w:r>
            <w:r w:rsidR="00D32B96">
              <w:rPr>
                <w:rFonts w:ascii="仿宋" w:eastAsia="仿宋" w:hAnsi="仿宋"/>
              </w:rPr>
              <w:t xml:space="preserve">  </w:t>
            </w:r>
            <w:bookmarkStart w:id="0" w:name="_GoBack"/>
            <w:bookmarkEnd w:id="0"/>
            <w:r w:rsidRPr="00C31AC7">
              <w:rPr>
                <w:rFonts w:ascii="仿宋" w:eastAsia="仿宋" w:hAnsi="仿宋"/>
              </w:rPr>
              <w:t>系主任签名：               年    月     日</w:t>
            </w:r>
          </w:p>
        </w:tc>
      </w:tr>
    </w:tbl>
    <w:p w:rsidR="00CE7B96" w:rsidRDefault="00CE7B96">
      <w:pPr>
        <w:rPr>
          <w:rFonts w:hint="eastAsia"/>
        </w:rPr>
      </w:pPr>
    </w:p>
    <w:sectPr w:rsidR="00CE7B96" w:rsidSect="00D32B9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A3"/>
    <w:rsid w:val="003C0848"/>
    <w:rsid w:val="006D06C0"/>
    <w:rsid w:val="009420A3"/>
    <w:rsid w:val="00C31AC7"/>
    <w:rsid w:val="00CE7B96"/>
    <w:rsid w:val="00D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EF10"/>
  <w15:chartTrackingRefBased/>
  <w15:docId w15:val="{F83537CF-7416-41B4-8B08-2FDD09FD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9420A3"/>
    <w:pPr>
      <w:widowControl/>
      <w:suppressAutoHyphens/>
      <w:spacing w:before="30" w:after="30" w:line="300" w:lineRule="auto"/>
      <w:ind w:left="30" w:right="30"/>
      <w:jc w:val="left"/>
    </w:pPr>
    <w:rPr>
      <w:rFonts w:ascii="宋体" w:hAnsi="宋体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5</cp:revision>
  <dcterms:created xsi:type="dcterms:W3CDTF">2016-10-17T06:56:00Z</dcterms:created>
  <dcterms:modified xsi:type="dcterms:W3CDTF">2016-10-17T06:59:00Z</dcterms:modified>
</cp:coreProperties>
</file>